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3A" w:rsidRDefault="00ED7B3A" w:rsidP="00ED7B3A">
      <w:pPr>
        <w:jc w:val="center"/>
        <w:rPr>
          <w:rFonts w:ascii="Times New Roman" w:hAnsi="Times New Roman"/>
          <w:b/>
          <w:bCs/>
          <w:sz w:val="28"/>
          <w:szCs w:val="28"/>
          <w:lang w:val="fr-FR"/>
        </w:rPr>
      </w:pPr>
      <w:r>
        <w:rPr>
          <w:rFonts w:ascii="Times New Roman" w:hAnsi="Times New Roman"/>
          <w:b/>
          <w:bCs/>
          <w:sz w:val="28"/>
          <w:szCs w:val="28"/>
          <w:lang w:val="fr-FR"/>
        </w:rPr>
        <w:t>BIỂU SỐ 24/2019</w:t>
      </w:r>
    </w:p>
    <w:p w:rsidR="00ED7B3A" w:rsidRDefault="00ED7B3A" w:rsidP="00ED7B3A">
      <w:pPr>
        <w:jc w:val="center"/>
        <w:rPr>
          <w:rFonts w:ascii="Times New Roman" w:hAnsi="Times New Roman"/>
          <w:b/>
          <w:bCs/>
          <w:sz w:val="28"/>
          <w:szCs w:val="28"/>
          <w:lang w:val="fr-FR"/>
        </w:rPr>
      </w:pPr>
      <w:r>
        <w:rPr>
          <w:rFonts w:ascii="Times New Roman" w:hAnsi="Times New Roman"/>
          <w:b/>
          <w:bCs/>
          <w:sz w:val="28"/>
          <w:szCs w:val="28"/>
          <w:lang w:val="fr-FR"/>
        </w:rPr>
        <w:t>THỐNG KÊ KẾT QUẢ TIẾP NHẬN, PHÂN LOẠI VÀ XỬ LÝ ĐƠN</w:t>
      </w:r>
      <w:r>
        <w:rPr>
          <w:rFonts w:ascii="Times New Roman" w:hAnsi="Times New Roman"/>
          <w:b/>
          <w:bCs/>
          <w:color w:val="000000"/>
          <w:sz w:val="28"/>
          <w:szCs w:val="28"/>
          <w:lang w:val="fr-FR"/>
        </w:rPr>
        <w:t xml:space="preserve"> </w:t>
      </w:r>
      <w:r>
        <w:rPr>
          <w:rFonts w:ascii="Times New Roman" w:hAnsi="Times New Roman"/>
          <w:b/>
          <w:bCs/>
          <w:sz w:val="28"/>
          <w:szCs w:val="28"/>
        </w:rPr>
        <w:t>TRONG HOẠT ĐỘNG TƯ PHÁP</w:t>
      </w:r>
    </w:p>
    <w:p w:rsidR="00ED7B3A" w:rsidRDefault="00ED7B3A" w:rsidP="00ED7B3A">
      <w:pPr>
        <w:jc w:val="center"/>
        <w:rPr>
          <w:rFonts w:ascii="Times New Roman" w:hAnsi="Times New Roman"/>
          <w:b/>
          <w:bCs/>
          <w:sz w:val="28"/>
          <w:szCs w:val="28"/>
          <w:lang w:val="fr-FR"/>
        </w:rPr>
      </w:pPr>
    </w:p>
    <w:p w:rsidR="00ED7B3A" w:rsidRDefault="00ED7B3A" w:rsidP="00ED7B3A">
      <w:pPr>
        <w:spacing w:line="320" w:lineRule="exact"/>
        <w:rPr>
          <w:rFonts w:ascii="Times New Roman" w:hAnsi="Times New Roman"/>
          <w:b/>
          <w:bCs/>
          <w:sz w:val="28"/>
          <w:szCs w:val="28"/>
          <w:lang w:val="fr-FR"/>
        </w:rPr>
      </w:pPr>
      <w:r>
        <w:rPr>
          <w:rFonts w:ascii="Times New Roman" w:hAnsi="Times New Roman"/>
          <w:sz w:val="28"/>
          <w:szCs w:val="28"/>
          <w:lang w:val="fr-FR"/>
        </w:rPr>
        <w:t xml:space="preserve">Phần này thống kê tất cả các loại đơn </w:t>
      </w:r>
      <w:r>
        <w:rPr>
          <w:rFonts w:ascii="Times New Roman" w:hAnsi="Times New Roman"/>
          <w:i/>
          <w:spacing w:val="-2"/>
          <w:sz w:val="28"/>
          <w:szCs w:val="28"/>
        </w:rPr>
        <w:t xml:space="preserve">khiếu nại, tố cáo, đề nghị, kiến nghị, phản ánh, yêu cầu </w:t>
      </w:r>
      <w:r>
        <w:rPr>
          <w:rFonts w:ascii="Times New Roman" w:hAnsi="Times New Roman"/>
          <w:sz w:val="28"/>
          <w:szCs w:val="28"/>
          <w:lang w:val="fr-FR"/>
        </w:rPr>
        <w:t>gửi đến VKSND.</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 (Số đơn còn lại của kỳ trước): </w:t>
      </w:r>
      <w:r>
        <w:rPr>
          <w:rFonts w:ascii="Times New Roman" w:hAnsi="Times New Roman"/>
          <w:sz w:val="28"/>
          <w:szCs w:val="28"/>
          <w:lang w:val="fr-FR"/>
        </w:rPr>
        <w:t xml:space="preserve">Thống kê số đơn VKS đã tiếp nhận từ kỳ thống kê trước nhưng chưa xử lý xong chuyển sang kỳ thống kê này để xử lý. </w:t>
      </w:r>
    </w:p>
    <w:p w:rsidR="00ED7B3A" w:rsidRDefault="00ED7B3A" w:rsidP="00ED7B3A">
      <w:pPr>
        <w:spacing w:line="320" w:lineRule="exact"/>
        <w:rPr>
          <w:rFonts w:ascii="Times New Roman" w:hAnsi="Times New Roman"/>
          <w:i/>
          <w:sz w:val="28"/>
          <w:szCs w:val="28"/>
          <w:lang w:val="fr-FR"/>
        </w:rPr>
      </w:pPr>
      <w:r>
        <w:rPr>
          <w:rFonts w:ascii="Times New Roman" w:hAnsi="Times New Roman"/>
          <w:b/>
          <w:bCs/>
          <w:sz w:val="28"/>
          <w:szCs w:val="28"/>
          <w:lang w:val="fr-FR"/>
        </w:rPr>
        <w:t xml:space="preserve">- Dòng 2 (Số đơn mới tiếp nhận): </w:t>
      </w:r>
      <w:r>
        <w:rPr>
          <w:rFonts w:ascii="Times New Roman" w:hAnsi="Times New Roman"/>
          <w:sz w:val="28"/>
          <w:szCs w:val="28"/>
          <w:lang w:val="fr-FR"/>
        </w:rPr>
        <w:t>Thống kê số đơn VKS mới tiếp nhận trong kỳ thống kê.</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 đến dòng 9: </w:t>
      </w:r>
      <w:r>
        <w:rPr>
          <w:rFonts w:ascii="Times New Roman" w:hAnsi="Times New Roman"/>
          <w:sz w:val="28"/>
          <w:szCs w:val="28"/>
          <w:lang w:val="fr-FR"/>
        </w:rPr>
        <w:t>Phân loại số đơn mới tiếp nhận thành 7 loại đơn cụ thể (từ dòng 3 đến dòng 8). Số đơn kiến nghị phản ánh và các loại đơn khác không thuộc số đơn từ dòng 3 đến dòng 8 thì thống kê vào dòng 9.</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Dòng 10 (Tổng số đơn đã tiếp nhận</w:t>
      </w:r>
      <w:r>
        <w:rPr>
          <w:rFonts w:ascii="Times New Roman" w:hAnsi="Times New Roman"/>
          <w:sz w:val="28"/>
          <w:szCs w:val="28"/>
          <w:lang w:val="fr-FR"/>
        </w:rPr>
        <w:t xml:space="preserve">): Thống kê tổng  số đơn VKS phải tiếp nhận để phân loại, xử lý gồm số đơn cũ và số đơn mới. </w:t>
      </w:r>
    </w:p>
    <w:p w:rsidR="00ED7B3A" w:rsidRDefault="00ED7B3A" w:rsidP="00ED7B3A">
      <w:pPr>
        <w:spacing w:line="320" w:lineRule="exact"/>
        <w:jc w:val="left"/>
        <w:rPr>
          <w:rFonts w:ascii="Times New Roman" w:hAnsi="Times New Roman"/>
          <w:bCs/>
          <w:i/>
          <w:sz w:val="28"/>
          <w:szCs w:val="28"/>
          <w:lang w:val="fr-FR"/>
        </w:rPr>
      </w:pPr>
      <w:r>
        <w:rPr>
          <w:rFonts w:ascii="Times New Roman" w:hAnsi="Times New Roman"/>
          <w:bCs/>
          <w:i/>
          <w:sz w:val="28"/>
          <w:szCs w:val="28"/>
          <w:lang w:val="fr-FR"/>
        </w:rPr>
        <w:t>Dòng 10 = Dòng 1 + Dòng2</w:t>
      </w:r>
    </w:p>
    <w:p w:rsidR="00ED7B3A" w:rsidRDefault="00ED7B3A" w:rsidP="00ED7B3A">
      <w:pPr>
        <w:spacing w:line="320" w:lineRule="exact"/>
        <w:rPr>
          <w:rFonts w:ascii="Times New Roman" w:hAnsi="Times New Roman"/>
          <w:i/>
          <w:sz w:val="28"/>
          <w:szCs w:val="28"/>
          <w:lang w:val="fr-FR"/>
        </w:rPr>
      </w:pPr>
      <w:r>
        <w:rPr>
          <w:rFonts w:ascii="Times New Roman" w:hAnsi="Times New Roman"/>
          <w:b/>
          <w:bCs/>
          <w:sz w:val="28"/>
          <w:szCs w:val="28"/>
          <w:lang w:val="fr-FR"/>
        </w:rPr>
        <w:t xml:space="preserve">- Dòng 11 (Số đơn thuộc thẩm quyền giải quyết của VKS): </w:t>
      </w:r>
      <w:r>
        <w:rPr>
          <w:rFonts w:ascii="Times New Roman" w:hAnsi="Times New Roman"/>
          <w:sz w:val="28"/>
          <w:szCs w:val="28"/>
          <w:lang w:val="fr-FR"/>
        </w:rPr>
        <w:t>Thống kê số đơn thuộc thẩm quyền giải quyết của VKS đã nhận (K</w:t>
      </w:r>
      <w:r>
        <w:rPr>
          <w:rFonts w:ascii="Times New Roman" w:hAnsi="Times New Roman"/>
          <w:i/>
          <w:sz w:val="28"/>
          <w:szCs w:val="28"/>
          <w:lang w:val="fr-FR"/>
        </w:rPr>
        <w:t>hoản 5 Điều 10, 12,14,15 Quy chế 51/QĐ-VKSTC-V12 ngày 02/2/2016 ban hành Quy chế tiếp công dân, giải quyết khiếu nại, tố cáo và kiểm sát việc giải quyết khiếu nại, tố cáo trong hoạt động tư pháp (Quy chế 51).</w:t>
      </w:r>
    </w:p>
    <w:p w:rsidR="00ED7B3A" w:rsidRDefault="00ED7B3A" w:rsidP="00ED7B3A">
      <w:pPr>
        <w:spacing w:line="320" w:lineRule="exact"/>
        <w:rPr>
          <w:rFonts w:ascii="Times New Roman" w:hAnsi="Times New Roman"/>
          <w:sz w:val="28"/>
          <w:szCs w:val="28"/>
          <w:lang w:val="fr-FR"/>
        </w:rPr>
      </w:pPr>
      <w:r>
        <w:rPr>
          <w:rFonts w:ascii="Times New Roman" w:hAnsi="Times New Roman"/>
          <w:b/>
          <w:sz w:val="28"/>
          <w:szCs w:val="28"/>
          <w:lang w:val="fr-FR"/>
        </w:rPr>
        <w:t xml:space="preserve">- Dòng 12 (Tr. đó : Đơn đề nghị kháng nghị giám đốc thẩm): </w:t>
      </w:r>
      <w:r>
        <w:rPr>
          <w:rFonts w:ascii="Times New Roman" w:hAnsi="Times New Roman"/>
          <w:sz w:val="28"/>
          <w:szCs w:val="28"/>
          <w:lang w:val="fr-FR"/>
        </w:rPr>
        <w:t>Thống kê số đơn đề nghị kháng nghị giám đốc thẩm thuộc thẩm quyền giải quyết của VKS theo quy định tại BLTTHS, BLTTDS, LTTHC mà VKS đã nhận trong tổng số đơn thuộc thẩm quyền giải quyết của VKS tại dòng 10.</w:t>
      </w:r>
    </w:p>
    <w:p w:rsidR="00ED7B3A" w:rsidRDefault="00ED7B3A" w:rsidP="00ED7B3A">
      <w:pPr>
        <w:spacing w:line="320" w:lineRule="exact"/>
        <w:rPr>
          <w:rFonts w:ascii="Times New Roman" w:hAnsi="Times New Roman"/>
          <w:sz w:val="28"/>
          <w:szCs w:val="28"/>
          <w:lang w:val="fr-FR"/>
        </w:rPr>
      </w:pPr>
      <w:r>
        <w:rPr>
          <w:rFonts w:ascii="Times New Roman" w:hAnsi="Times New Roman"/>
          <w:b/>
          <w:sz w:val="28"/>
          <w:szCs w:val="28"/>
          <w:lang w:val="fr-FR"/>
        </w:rPr>
        <w:t>- Dòng 13 (Đơn tố giác trong hoạt động tư pháp):</w:t>
      </w:r>
      <w:r>
        <w:rPr>
          <w:rFonts w:ascii="Times New Roman" w:hAnsi="Times New Roman"/>
          <w:sz w:val="28"/>
          <w:szCs w:val="28"/>
          <w:lang w:val="fr-FR"/>
        </w:rPr>
        <w:t xml:space="preserve"> Thống kê số đơn tố giác trong hoạt động tư pháp thuộc thẩm quyền giải quyết của cơ quan điều tra VKSNDTC</w:t>
      </w:r>
      <w:r>
        <w:rPr>
          <w:rFonts w:ascii="Times New Roman" w:hAnsi="Times New Roman"/>
          <w:i/>
          <w:sz w:val="28"/>
          <w:szCs w:val="28"/>
          <w:lang w:val="fr-FR"/>
        </w:rPr>
        <w:t xml:space="preserve"> (Điều 4 Quy chế 565/QĐ-VKSTC-C1ngày 29/12/2017 mà VKS</w:t>
      </w:r>
      <w:r>
        <w:rPr>
          <w:rFonts w:ascii="Times New Roman" w:hAnsi="Times New Roman"/>
          <w:sz w:val="28"/>
          <w:szCs w:val="28"/>
          <w:lang w:val="fr-FR"/>
        </w:rPr>
        <w:t xml:space="preserve"> </w:t>
      </w:r>
      <w:r>
        <w:rPr>
          <w:rFonts w:ascii="Times New Roman" w:hAnsi="Times New Roman"/>
          <w:i/>
          <w:sz w:val="28"/>
          <w:szCs w:val="28"/>
          <w:lang w:val="fr-FR"/>
        </w:rPr>
        <w:t>đã nhận)</w:t>
      </w:r>
      <w:r>
        <w:rPr>
          <w:rFonts w:ascii="Times New Roman" w:hAnsi="Times New Roman"/>
          <w:sz w:val="28"/>
          <w:szCs w:val="28"/>
          <w:lang w:val="fr-FR"/>
        </w:rPr>
        <w:t>.</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14 (Số đơn chuyển VKS khác có thẩm quyền giải quyết): </w:t>
      </w:r>
      <w:r>
        <w:rPr>
          <w:rFonts w:ascii="Times New Roman" w:hAnsi="Times New Roman"/>
          <w:sz w:val="28"/>
          <w:szCs w:val="28"/>
          <w:lang w:val="fr-FR"/>
        </w:rPr>
        <w:t>Thống kê số đơn chuyển VKS khác có thẩm quyền giải quyết.</w:t>
      </w:r>
      <w:r>
        <w:rPr>
          <w:rFonts w:ascii="Times New Roman" w:hAnsi="Times New Roman"/>
          <w:i/>
          <w:sz w:val="28"/>
          <w:szCs w:val="28"/>
          <w:lang w:val="fr-FR"/>
        </w:rPr>
        <w:t xml:space="preserve"> </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Dòng 15 (Số đơn thuộc thẩm quyền kiểm sát việc giải quyết khiếu nại tố cáo và tin báo, tố giác tội phạm</w:t>
      </w:r>
      <w:r>
        <w:rPr>
          <w:rFonts w:ascii="Times New Roman" w:hAnsi="Times New Roman"/>
          <w:sz w:val="28"/>
          <w:szCs w:val="28"/>
          <w:lang w:val="fr-FR"/>
        </w:rPr>
        <w:t xml:space="preserve">): Thống kê số đơn khiếu nại, tố cáo, tin báo, tố giác tội phạm thuộc thẩm quyền kiểm sát việc giải quyết của Viện kiểm sát </w:t>
      </w:r>
      <w:r>
        <w:rPr>
          <w:rFonts w:ascii="Times New Roman" w:hAnsi="Times New Roman"/>
          <w:i/>
          <w:sz w:val="28"/>
          <w:szCs w:val="28"/>
          <w:lang w:val="fr-FR"/>
        </w:rPr>
        <w:t>(khoản 1,2,3 Điều 10 Quy chế 51</w:t>
      </w:r>
      <w:r>
        <w:rPr>
          <w:rFonts w:ascii="Times New Roman" w:hAnsi="Times New Roman"/>
          <w:sz w:val="28"/>
          <w:szCs w:val="28"/>
          <w:lang w:val="fr-FR"/>
        </w:rPr>
        <w:t>);</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16 (Tr. đó: Số đơn chuyển cơ quan Điều tra): </w:t>
      </w:r>
      <w:r>
        <w:rPr>
          <w:rFonts w:ascii="Times New Roman" w:hAnsi="Times New Roman"/>
          <w:sz w:val="28"/>
          <w:szCs w:val="28"/>
          <w:lang w:val="fr-FR"/>
        </w:rPr>
        <w:t xml:space="preserve">Thống kê số đơn VKS chuyển cơ quan Điều tra mà VKS có thẩm quyền kiểm sát việc giải quyết khiếu nại, tố cáo của cơ quan Điều tra; </w:t>
      </w:r>
    </w:p>
    <w:p w:rsidR="00ED7B3A" w:rsidRDefault="00ED7B3A" w:rsidP="00ED7B3A">
      <w:pPr>
        <w:spacing w:line="320" w:lineRule="exact"/>
        <w:rPr>
          <w:rFonts w:ascii="Times New Roman" w:hAnsi="Times New Roman"/>
          <w:sz w:val="28"/>
          <w:szCs w:val="28"/>
          <w:lang w:val="fr-FR"/>
        </w:rPr>
      </w:pPr>
      <w:r>
        <w:rPr>
          <w:rFonts w:ascii="Times New Roman" w:hAnsi="Times New Roman"/>
          <w:sz w:val="28"/>
          <w:szCs w:val="28"/>
          <w:lang w:val="fr-FR"/>
        </w:rPr>
        <w:lastRenderedPageBreak/>
        <w:t xml:space="preserve">- </w:t>
      </w:r>
      <w:r>
        <w:rPr>
          <w:rFonts w:ascii="Times New Roman" w:hAnsi="Times New Roman"/>
          <w:b/>
          <w:sz w:val="28"/>
          <w:szCs w:val="28"/>
          <w:lang w:val="fr-FR"/>
        </w:rPr>
        <w:t>Dòng 17 (Số đơn chuyển cơ quan được giao nhiệm vụ tiến hành một số hoạt động điều tra):</w:t>
      </w:r>
      <w:r>
        <w:rPr>
          <w:rFonts w:ascii="Times New Roman" w:hAnsi="Times New Roman"/>
          <w:sz w:val="28"/>
          <w:szCs w:val="28"/>
          <w:lang w:val="fr-FR"/>
        </w:rPr>
        <w:t xml:space="preserve"> Thống kê số đơn VKS chuyển cơ quan được giao nhiệm vụ tiến hành một số hoạt động điều tra (Bộ đội biên phòng, Hải quan, Kiểm lâm, Lực lượng Cảnh sát biển…) mà VKS có thẩm quyền kiểm sát việc giải quyết khiếu nại, tố cáo của các cơ quan đó;</w:t>
      </w:r>
      <w:r>
        <w:rPr>
          <w:rFonts w:ascii="Times New Roman" w:hAnsi="Times New Roman"/>
          <w:sz w:val="28"/>
          <w:szCs w:val="28"/>
          <w:highlight w:val="green"/>
          <w:lang w:val="fr-FR"/>
        </w:rPr>
        <w:t xml:space="preserve"> </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18 (Số đơn chuyển Tòa án): </w:t>
      </w:r>
      <w:r>
        <w:rPr>
          <w:rFonts w:ascii="Times New Roman" w:hAnsi="Times New Roman"/>
          <w:sz w:val="28"/>
          <w:szCs w:val="28"/>
          <w:lang w:val="fr-FR"/>
        </w:rPr>
        <w:t>Thống kê số đơn VKS chuyển</w:t>
      </w:r>
      <w:r>
        <w:rPr>
          <w:rFonts w:ascii="Times New Roman" w:hAnsi="Times New Roman"/>
          <w:bCs/>
          <w:sz w:val="28"/>
          <w:szCs w:val="28"/>
          <w:lang w:val="fr-FR"/>
        </w:rPr>
        <w:t xml:space="preserve"> Tòa án </w:t>
      </w:r>
      <w:r>
        <w:rPr>
          <w:rFonts w:ascii="Times New Roman" w:hAnsi="Times New Roman"/>
          <w:sz w:val="28"/>
          <w:szCs w:val="28"/>
          <w:lang w:val="fr-FR"/>
        </w:rPr>
        <w:t xml:space="preserve">mà VKS có thẩm quyền kiểm sát việc giải quyết khiếu nại, tố cáo của Toà án </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19 (Số đơn chuyển cơ quan Thi hành án): </w:t>
      </w:r>
      <w:r>
        <w:rPr>
          <w:rFonts w:ascii="Times New Roman" w:hAnsi="Times New Roman"/>
          <w:sz w:val="28"/>
          <w:szCs w:val="28"/>
          <w:lang w:val="fr-FR"/>
        </w:rPr>
        <w:t xml:space="preserve">Thống kê số đơn </w:t>
      </w:r>
      <w:r>
        <w:rPr>
          <w:rFonts w:ascii="Times New Roman" w:hAnsi="Times New Roman"/>
          <w:bCs/>
          <w:sz w:val="28"/>
          <w:szCs w:val="28"/>
          <w:lang w:val="fr-FR"/>
        </w:rPr>
        <w:t>VKS chuyển</w:t>
      </w:r>
      <w:r>
        <w:rPr>
          <w:rFonts w:ascii="Times New Roman" w:hAnsi="Times New Roman"/>
          <w:sz w:val="28"/>
          <w:szCs w:val="28"/>
          <w:lang w:val="fr-FR"/>
        </w:rPr>
        <w:t xml:space="preserve"> cơ quan Thi hành án </w:t>
      </w:r>
      <w:r>
        <w:rPr>
          <w:rFonts w:ascii="Times New Roman" w:hAnsi="Times New Roman"/>
          <w:bCs/>
          <w:sz w:val="28"/>
          <w:szCs w:val="28"/>
          <w:lang w:val="fr-FR"/>
        </w:rPr>
        <w:t>để</w:t>
      </w:r>
      <w:r>
        <w:rPr>
          <w:rFonts w:ascii="Times New Roman" w:hAnsi="Times New Roman"/>
          <w:sz w:val="28"/>
          <w:szCs w:val="28"/>
          <w:lang w:val="fr-FR"/>
        </w:rPr>
        <w:t xml:space="preserve"> giải quyết theo</w:t>
      </w:r>
      <w:r>
        <w:rPr>
          <w:rFonts w:ascii="Times New Roman" w:hAnsi="Times New Roman"/>
          <w:bCs/>
          <w:sz w:val="28"/>
          <w:szCs w:val="28"/>
          <w:lang w:val="fr-FR"/>
        </w:rPr>
        <w:t xml:space="preserve"> </w:t>
      </w:r>
      <w:r>
        <w:rPr>
          <w:rFonts w:ascii="Times New Roman" w:hAnsi="Times New Roman"/>
          <w:sz w:val="28"/>
          <w:szCs w:val="28"/>
          <w:lang w:val="fr-FR"/>
        </w:rPr>
        <w:t xml:space="preserve">thẩm quyền mà VKS có thẩm quyền kiểm sát việc giải quyết khiếu nại tố cáo của cơ quan Thi hành án. </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20 (Số đơn không thuộc thẩm quyền giải quyết của VKS và không thuộc thẩm quyền kiểm sát việc giải quyết của VKS): </w:t>
      </w:r>
      <w:r>
        <w:rPr>
          <w:rFonts w:ascii="Times New Roman" w:hAnsi="Times New Roman"/>
          <w:sz w:val="28"/>
          <w:szCs w:val="28"/>
          <w:lang w:val="fr-FR"/>
        </w:rPr>
        <w:t>Thống kê số đơn không thuộc thẩm quyền giải quyết của VKS và không thuộc thẩm quyền kiểm sát việc giải quyết của VKS (</w:t>
      </w:r>
      <w:r>
        <w:rPr>
          <w:rFonts w:ascii="Times New Roman" w:hAnsi="Times New Roman"/>
          <w:i/>
          <w:sz w:val="28"/>
          <w:szCs w:val="28"/>
          <w:lang w:val="fr-FR"/>
        </w:rPr>
        <w:t>khoản 1 Điều 10 Quy chế 51/QĐ-VKSTC-V12</w:t>
      </w:r>
      <w:r>
        <w:rPr>
          <w:rFonts w:ascii="Times New Roman" w:hAnsi="Times New Roman"/>
          <w:sz w:val="28"/>
          <w:szCs w:val="28"/>
          <w:lang w:val="fr-FR"/>
        </w:rPr>
        <w:t>).</w:t>
      </w:r>
    </w:p>
    <w:p w:rsidR="00ED7B3A" w:rsidRDefault="00ED7B3A" w:rsidP="00ED7B3A">
      <w:pPr>
        <w:spacing w:line="320" w:lineRule="exact"/>
        <w:rPr>
          <w:rFonts w:ascii="Times New Roman" w:hAnsi="Times New Roman"/>
          <w:i/>
          <w:sz w:val="28"/>
          <w:szCs w:val="28"/>
          <w:lang w:val="fr-FR"/>
        </w:rPr>
      </w:pPr>
      <w:r>
        <w:rPr>
          <w:rFonts w:ascii="Times New Roman" w:hAnsi="Times New Roman"/>
          <w:b/>
          <w:bCs/>
          <w:sz w:val="28"/>
          <w:szCs w:val="28"/>
          <w:lang w:val="fr-FR"/>
        </w:rPr>
        <w:t xml:space="preserve">- Dòng 21 (Số đơn chưa đủ hoặc không đủ điều kiện thụ lý): </w:t>
      </w:r>
      <w:r>
        <w:rPr>
          <w:rFonts w:ascii="Times New Roman" w:hAnsi="Times New Roman"/>
          <w:sz w:val="28"/>
          <w:szCs w:val="28"/>
          <w:lang w:val="fr-FR"/>
        </w:rPr>
        <w:t>Thống kê số đơn chưa đủ điều kiện mà phải bổ sung các nội dung, tài liệu cần thiết hoặc không đủ điều kiện thụ lý phải trả lại đơn và có văn bản thông báo rõ lý do (</w:t>
      </w:r>
      <w:r>
        <w:rPr>
          <w:rFonts w:ascii="Times New Roman" w:hAnsi="Times New Roman"/>
          <w:i/>
          <w:sz w:val="28"/>
          <w:szCs w:val="28"/>
          <w:lang w:val="fr-FR"/>
        </w:rPr>
        <w:t>Khoản 1, Khoản 6 Điều 10 Quy chế 51, Khoản 1 Điều 5, Khoản 1 Điều 17 Quyết định 546/QĐ-VKSTC-V12 ngày</w:t>
      </w:r>
      <w:r>
        <w:rPr>
          <w:rFonts w:ascii="Times New Roman" w:hAnsi="Times New Roman"/>
          <w:sz w:val="28"/>
          <w:szCs w:val="28"/>
          <w:lang w:val="fr-FR"/>
        </w:rPr>
        <w:t xml:space="preserve"> 03/5/2018 </w:t>
      </w:r>
      <w:r>
        <w:rPr>
          <w:rFonts w:ascii="Times New Roman" w:hAnsi="Times New Roman"/>
          <w:i/>
          <w:sz w:val="28"/>
          <w:szCs w:val="28"/>
          <w:lang w:val="fr-FR"/>
        </w:rPr>
        <w:t xml:space="preserve">ban hành Quy định về quy trình giải quyết khiếu nại, tố cáo; kiểm tra quyết định giải quyết khiếu nại đã có hiệu lực pháp luật và kiểm sát việc giải quyết khiếu nại, tố cáo trong hoạt động tư pháp (Quy trình 546).  </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Dòng 22 (Tr.đó: Số đơn hết thời hiệu giải quyết):</w:t>
      </w:r>
      <w:r>
        <w:rPr>
          <w:rFonts w:ascii="Times New Roman" w:hAnsi="Times New Roman"/>
          <w:sz w:val="28"/>
          <w:szCs w:val="28"/>
          <w:lang w:val="fr-FR"/>
        </w:rPr>
        <w:t xml:space="preserve"> Thống kê số đơn hết thời hiệu theo quy định của pháp luật.</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Dòng 23 (Tr.đó: Số đơn đề nghị kháng nghị GĐT, TT hết thời hiệu giải quyết):</w:t>
      </w:r>
      <w:r>
        <w:rPr>
          <w:rFonts w:ascii="Times New Roman" w:hAnsi="Times New Roman"/>
          <w:sz w:val="28"/>
          <w:szCs w:val="28"/>
          <w:lang w:val="fr-FR"/>
        </w:rPr>
        <w:t xml:space="preserve"> Thống kế số đơn đề nghị kháng nghị GĐT, TT hết thời hiệu theo quy định của pháp luật.</w:t>
      </w:r>
    </w:p>
    <w:p w:rsidR="00ED7B3A" w:rsidRDefault="00ED7B3A" w:rsidP="00ED7B3A">
      <w:pPr>
        <w:spacing w:line="320" w:lineRule="exact"/>
        <w:rPr>
          <w:rFonts w:ascii="Times New Roman" w:hAnsi="Times New Roman"/>
          <w:sz w:val="28"/>
          <w:szCs w:val="28"/>
          <w:lang w:val="fr-FR"/>
        </w:rPr>
      </w:pPr>
      <w:r>
        <w:rPr>
          <w:rFonts w:ascii="Times New Roman" w:hAnsi="Times New Roman"/>
          <w:b/>
          <w:bCs/>
          <w:sz w:val="28"/>
          <w:szCs w:val="28"/>
          <w:lang w:val="fr-FR"/>
        </w:rPr>
        <w:t>- Dòng 24 (số đơn còn lại cuối kỳ chưa xử lý):</w:t>
      </w:r>
      <w:r>
        <w:rPr>
          <w:rFonts w:ascii="Times New Roman" w:hAnsi="Times New Roman"/>
          <w:sz w:val="28"/>
          <w:szCs w:val="28"/>
          <w:lang w:val="fr-FR"/>
        </w:rPr>
        <w:t xml:space="preserve"> Thống kê số đơn còn lại chưa xử lý tính đến thời điểm kết thúc kỳ thống kê. </w:t>
      </w:r>
    </w:p>
    <w:p w:rsidR="00ED7B3A" w:rsidRDefault="00ED7B3A" w:rsidP="00ED7B3A">
      <w:pPr>
        <w:spacing w:line="320" w:lineRule="exact"/>
        <w:rPr>
          <w:rFonts w:ascii="Times New Roman" w:hAnsi="Times New Roman"/>
          <w:i/>
          <w:sz w:val="28"/>
          <w:szCs w:val="28"/>
          <w:lang w:val="fr-FR"/>
        </w:rPr>
      </w:pPr>
      <w:r>
        <w:rPr>
          <w:rFonts w:ascii="Times New Roman" w:hAnsi="Times New Roman"/>
          <w:i/>
          <w:sz w:val="28"/>
          <w:szCs w:val="28"/>
          <w:lang w:val="fr-FR"/>
        </w:rPr>
        <w:t xml:space="preserve">             D24 = D10 – D11 – D14 – D15 – D20 – D21</w:t>
      </w:r>
    </w:p>
    <w:p w:rsidR="00ED7B3A" w:rsidRDefault="00ED7B3A" w:rsidP="00ED7B3A">
      <w:pPr>
        <w:spacing w:line="320" w:lineRule="exact"/>
        <w:rPr>
          <w:rFonts w:ascii="Times New Roman" w:hAnsi="Times New Roman"/>
          <w:bCs/>
          <w:sz w:val="28"/>
          <w:szCs w:val="28"/>
          <w:lang w:val="fr-FR"/>
        </w:rPr>
      </w:pPr>
      <w:r>
        <w:rPr>
          <w:rFonts w:ascii="Times New Roman" w:hAnsi="Times New Roman"/>
          <w:b/>
          <w:bCs/>
          <w:sz w:val="28"/>
          <w:szCs w:val="28"/>
          <w:lang w:val="fr-FR"/>
        </w:rPr>
        <w:t xml:space="preserve">- Dòng 25 (Số lượt tiếp công dân): </w:t>
      </w:r>
      <w:r>
        <w:rPr>
          <w:rFonts w:ascii="Times New Roman" w:hAnsi="Times New Roman"/>
          <w:bCs/>
          <w:sz w:val="28"/>
          <w:szCs w:val="28"/>
          <w:lang w:val="fr-FR"/>
        </w:rPr>
        <w:t xml:space="preserve">Thống kê số lượt tiếp công dân, không thống kê số công dân đã được tiếp </w:t>
      </w:r>
    </w:p>
    <w:p w:rsidR="00ED7B3A" w:rsidRDefault="00ED7B3A" w:rsidP="00ED7B3A">
      <w:pPr>
        <w:spacing w:line="320" w:lineRule="exact"/>
        <w:rPr>
          <w:rFonts w:ascii="Times New Roman" w:hAnsi="Times New Roman"/>
          <w:bCs/>
          <w:sz w:val="28"/>
          <w:szCs w:val="28"/>
          <w:lang w:val="fr-FR"/>
        </w:rPr>
      </w:pPr>
      <w:r>
        <w:rPr>
          <w:rFonts w:ascii="Times New Roman" w:hAnsi="Times New Roman"/>
          <w:b/>
          <w:bCs/>
          <w:sz w:val="28"/>
          <w:szCs w:val="28"/>
          <w:lang w:val="fr-FR"/>
        </w:rPr>
        <w:t xml:space="preserve">- Dòng 26 (Tr.đó: Số lượt Lãnh đạo Viện kiểm sát tiếp công dân): </w:t>
      </w:r>
      <w:r>
        <w:rPr>
          <w:rFonts w:ascii="Times New Roman" w:hAnsi="Times New Roman"/>
          <w:bCs/>
          <w:sz w:val="28"/>
          <w:szCs w:val="28"/>
          <w:lang w:val="fr-FR"/>
        </w:rPr>
        <w:t>Thống kê số lượt lãnh đạo tiếp công dân, không thống kê số công dân đã được tiếp.</w:t>
      </w:r>
    </w:p>
    <w:p w:rsidR="002108DD" w:rsidRDefault="002108DD"/>
    <w:sectPr w:rsidR="002108DD" w:rsidSect="00ED7B3A">
      <w:footerReference w:type="default" r:id="rId6"/>
      <w:pgSz w:w="11907" w:h="16840" w:code="9"/>
      <w:pgMar w:top="1134" w:right="851" w:bottom="1134" w:left="1701" w:header="720" w:footer="3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2C" w:rsidRDefault="00D7672C" w:rsidP="00ED7B3A">
      <w:pPr>
        <w:spacing w:before="0"/>
      </w:pPr>
      <w:r>
        <w:separator/>
      </w:r>
    </w:p>
  </w:endnote>
  <w:endnote w:type="continuationSeparator" w:id="1">
    <w:p w:rsidR="00D7672C" w:rsidRDefault="00D7672C" w:rsidP="00ED7B3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9"/>
      <w:docPartObj>
        <w:docPartGallery w:val="Page Numbers (Bottom of Page)"/>
        <w:docPartUnique/>
      </w:docPartObj>
    </w:sdtPr>
    <w:sdtContent>
      <w:p w:rsidR="00ED7B3A" w:rsidRDefault="00ED7B3A">
        <w:pPr>
          <w:pStyle w:val="Footer"/>
          <w:jc w:val="center"/>
        </w:pPr>
        <w:fldSimple w:instr=" PAGE   \* MERGEFORMAT ">
          <w:r>
            <w:rPr>
              <w:noProof/>
            </w:rPr>
            <w:t>1</w:t>
          </w:r>
        </w:fldSimple>
      </w:p>
    </w:sdtContent>
  </w:sdt>
  <w:p w:rsidR="00ED7B3A" w:rsidRDefault="00ED7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2C" w:rsidRDefault="00D7672C" w:rsidP="00ED7B3A">
      <w:pPr>
        <w:spacing w:before="0"/>
      </w:pPr>
      <w:r>
        <w:separator/>
      </w:r>
    </w:p>
  </w:footnote>
  <w:footnote w:type="continuationSeparator" w:id="1">
    <w:p w:rsidR="00D7672C" w:rsidRDefault="00D7672C" w:rsidP="00ED7B3A">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D7B3A"/>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7672C"/>
    <w:rsid w:val="00D97F7B"/>
    <w:rsid w:val="00DA74FB"/>
    <w:rsid w:val="00DB48D3"/>
    <w:rsid w:val="00DC362B"/>
    <w:rsid w:val="00DE4FFE"/>
    <w:rsid w:val="00E0460C"/>
    <w:rsid w:val="00E3732C"/>
    <w:rsid w:val="00E41CF9"/>
    <w:rsid w:val="00E460DB"/>
    <w:rsid w:val="00E82EA1"/>
    <w:rsid w:val="00EC0943"/>
    <w:rsid w:val="00ED3090"/>
    <w:rsid w:val="00ED7B3A"/>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A"/>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7B3A"/>
    <w:pPr>
      <w:tabs>
        <w:tab w:val="center" w:pos="4680"/>
        <w:tab w:val="right" w:pos="9360"/>
      </w:tabs>
      <w:spacing w:before="0"/>
    </w:pPr>
  </w:style>
  <w:style w:type="character" w:customStyle="1" w:styleId="HeaderChar">
    <w:name w:val="Header Char"/>
    <w:basedOn w:val="DefaultParagraphFont"/>
    <w:link w:val="Header"/>
    <w:uiPriority w:val="99"/>
    <w:semiHidden/>
    <w:rsid w:val="00ED7B3A"/>
    <w:rPr>
      <w:rFonts w:ascii=".VnTime" w:eastAsia="Times New Roman" w:hAnsi=".VnTime" w:cs="Times New Roman"/>
      <w:sz w:val="26"/>
      <w:szCs w:val="26"/>
    </w:rPr>
  </w:style>
  <w:style w:type="paragraph" w:styleId="Footer">
    <w:name w:val="footer"/>
    <w:basedOn w:val="Normal"/>
    <w:link w:val="FooterChar"/>
    <w:uiPriority w:val="99"/>
    <w:unhideWhenUsed/>
    <w:rsid w:val="00ED7B3A"/>
    <w:pPr>
      <w:tabs>
        <w:tab w:val="center" w:pos="4680"/>
        <w:tab w:val="right" w:pos="9360"/>
      </w:tabs>
      <w:spacing w:before="0"/>
    </w:pPr>
  </w:style>
  <w:style w:type="character" w:customStyle="1" w:styleId="FooterChar">
    <w:name w:val="Footer Char"/>
    <w:basedOn w:val="DefaultParagraphFont"/>
    <w:link w:val="Footer"/>
    <w:uiPriority w:val="99"/>
    <w:rsid w:val="00ED7B3A"/>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Company>Microsoft</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2020-02-26T01:09:00Z</dcterms:created>
  <dcterms:modified xsi:type="dcterms:W3CDTF">2020-02-26T01:10:00Z</dcterms:modified>
</cp:coreProperties>
</file>